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val="0"/>
        <w:topLinePunct w:val="0"/>
        <w:autoSpaceDE/>
        <w:autoSpaceDN/>
        <w:bidi w:val="0"/>
        <w:adjustRightInd/>
        <w:snapToGrid/>
        <w:spacing w:after="0" w:line="560" w:lineRule="exact"/>
        <w:ind w:left="0" w:leftChars="0" w:right="0" w:rightChars="0" w:firstLine="0" w:firstLineChars="0"/>
        <w:jc w:val="center"/>
        <w:textAlignment w:val="auto"/>
        <w:outlineLvl w:val="9"/>
        <w:rPr>
          <w:rFonts w:hint="eastAsia" w:ascii="方正小标宋_GBK" w:eastAsia="方正小标宋_GBK"/>
          <w:sz w:val="44"/>
          <w:szCs w:val="44"/>
          <w:lang w:eastAsia="zh-CN"/>
        </w:rPr>
      </w:pPr>
      <w:r>
        <w:rPr>
          <w:rFonts w:hint="eastAsia" w:ascii="方正小标宋_GBK" w:eastAsia="方正小标宋_GBK"/>
          <w:sz w:val="44"/>
          <w:szCs w:val="44"/>
          <w:lang w:eastAsia="zh-CN"/>
        </w:rPr>
        <w:t>2022年伊川县药品经营使用单位监督检查计划</w:t>
      </w:r>
    </w:p>
    <w:tbl>
      <w:tblPr>
        <w:tblStyle w:val="10"/>
        <w:tblW w:w="14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6"/>
        <w:gridCol w:w="787"/>
        <w:gridCol w:w="541"/>
        <w:gridCol w:w="4983"/>
        <w:gridCol w:w="4005"/>
        <w:gridCol w:w="1182"/>
        <w:gridCol w:w="2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tblHeader/>
          <w:jc w:val="center"/>
        </w:trPr>
        <w:tc>
          <w:tcPr>
            <w:tcW w:w="486"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序号</w:t>
            </w:r>
          </w:p>
        </w:tc>
        <w:tc>
          <w:tcPr>
            <w:tcW w:w="787"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检查</w:t>
            </w:r>
          </w:p>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对象</w:t>
            </w:r>
          </w:p>
        </w:tc>
        <w:tc>
          <w:tcPr>
            <w:tcW w:w="541" w:type="dxa"/>
            <w:noWrap w:val="0"/>
            <w:vAlign w:val="center"/>
          </w:tcPr>
          <w:p>
            <w:pPr>
              <w:pStyle w:val="4"/>
              <w:overflowPunct w:val="0"/>
              <w:spacing w:after="0" w:line="280" w:lineRule="exact"/>
              <w:jc w:val="center"/>
              <w:rPr>
                <w:rFonts w:ascii="黑体" w:hAnsi="黑体" w:eastAsia="黑体"/>
                <w:sz w:val="21"/>
                <w:szCs w:val="18"/>
                <w:lang w:eastAsia="zh-CN"/>
              </w:rPr>
            </w:pPr>
            <w:r>
              <w:rPr>
                <w:rFonts w:hint="eastAsia" w:ascii="黑体" w:hAnsi="黑体" w:eastAsia="黑体"/>
                <w:sz w:val="21"/>
                <w:szCs w:val="18"/>
                <w:lang w:eastAsia="zh-CN"/>
              </w:rPr>
              <w:t>检查类别</w:t>
            </w:r>
          </w:p>
        </w:tc>
        <w:tc>
          <w:tcPr>
            <w:tcW w:w="4983"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检查任务</w:t>
            </w:r>
          </w:p>
        </w:tc>
        <w:tc>
          <w:tcPr>
            <w:tcW w:w="4005"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检查重点</w:t>
            </w:r>
          </w:p>
        </w:tc>
        <w:tc>
          <w:tcPr>
            <w:tcW w:w="1182"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负责单位</w:t>
            </w:r>
          </w:p>
        </w:tc>
        <w:tc>
          <w:tcPr>
            <w:tcW w:w="2594" w:type="dxa"/>
            <w:noWrap w:val="0"/>
            <w:vAlign w:val="center"/>
          </w:tcPr>
          <w:p>
            <w:pPr>
              <w:pStyle w:val="4"/>
              <w:overflowPunct w:val="0"/>
              <w:spacing w:after="0" w:line="280" w:lineRule="exact"/>
              <w:jc w:val="center"/>
              <w:rPr>
                <w:rFonts w:ascii="黑体" w:hAnsi="黑体" w:eastAsia="黑体"/>
                <w:sz w:val="21"/>
                <w:szCs w:val="18"/>
                <w:lang w:eastAsia="zh-CN"/>
              </w:rPr>
            </w:pPr>
            <w:r>
              <w:rPr>
                <w:rFonts w:ascii="黑体" w:hAnsi="黑体" w:eastAsia="黑体"/>
                <w:sz w:val="21"/>
                <w:szCs w:val="18"/>
                <w:lang w:eastAsia="zh-CN"/>
              </w:rPr>
              <w:t>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10" w:hRule="atLeast"/>
          <w:jc w:val="center"/>
        </w:trPr>
        <w:tc>
          <w:tcPr>
            <w:tcW w:w="486" w:type="dxa"/>
            <w:noWrap w:val="0"/>
            <w:vAlign w:val="center"/>
          </w:tcPr>
          <w:p>
            <w:pPr>
              <w:pStyle w:val="4"/>
              <w:overflowPunct w:val="0"/>
              <w:spacing w:after="0" w:line="340" w:lineRule="exact"/>
              <w:jc w:val="center"/>
              <w:rPr>
                <w:rFonts w:hint="eastAsia" w:ascii="仿宋_GB2312" w:hAnsi="黑体" w:eastAsia="仿宋_GB2312"/>
                <w:sz w:val="21"/>
                <w:szCs w:val="18"/>
                <w:lang w:eastAsia="zh-CN"/>
              </w:rPr>
            </w:pPr>
            <w:r>
              <w:rPr>
                <w:rFonts w:hint="eastAsia" w:ascii="仿宋_GB2312" w:hAnsi="黑体" w:eastAsia="仿宋_GB2312"/>
                <w:sz w:val="20"/>
                <w:szCs w:val="18"/>
                <w:lang w:val="en-US" w:eastAsia="zh-CN"/>
              </w:rPr>
              <w:t>1</w:t>
            </w:r>
          </w:p>
        </w:tc>
        <w:tc>
          <w:tcPr>
            <w:tcW w:w="787" w:type="dxa"/>
            <w:noWrap w:val="0"/>
            <w:vAlign w:val="center"/>
          </w:tcPr>
          <w:p>
            <w:pPr>
              <w:pStyle w:val="4"/>
              <w:overflowPunct w:val="0"/>
              <w:spacing w:after="0" w:line="340" w:lineRule="exact"/>
              <w:jc w:val="center"/>
              <w:rPr>
                <w:rFonts w:hint="eastAsia" w:ascii="仿宋_GB2312" w:hAnsi="黑体" w:eastAsia="仿宋_GB2312"/>
                <w:sz w:val="21"/>
                <w:szCs w:val="18"/>
                <w:lang w:eastAsia="zh-CN"/>
              </w:rPr>
            </w:pPr>
            <w:r>
              <w:rPr>
                <w:rFonts w:hint="eastAsia" w:ascii="仿宋_GB2312" w:hAnsi="黑体" w:eastAsia="仿宋_GB2312"/>
                <w:sz w:val="21"/>
                <w:szCs w:val="18"/>
                <w:lang w:eastAsia="zh-CN"/>
              </w:rPr>
              <w:t>零售药店（含连锁门店）</w:t>
            </w:r>
          </w:p>
        </w:tc>
        <w:tc>
          <w:tcPr>
            <w:tcW w:w="541" w:type="dxa"/>
            <w:noWrap w:val="0"/>
            <w:vAlign w:val="center"/>
          </w:tcPr>
          <w:p>
            <w:pPr>
              <w:pStyle w:val="4"/>
              <w:overflowPunct w:val="0"/>
              <w:spacing w:after="0" w:line="340" w:lineRule="exact"/>
              <w:jc w:val="center"/>
              <w:rPr>
                <w:rFonts w:hint="eastAsia" w:ascii="仿宋_GB2312" w:hAnsi="宋体" w:eastAsia="仿宋_GB2312"/>
                <w:sz w:val="21"/>
                <w:szCs w:val="18"/>
                <w:lang w:eastAsia="zh-CN"/>
              </w:rPr>
            </w:pPr>
            <w:r>
              <w:rPr>
                <w:rFonts w:hint="eastAsia" w:ascii="仿宋_GB2312" w:hAnsi="宋体" w:eastAsia="仿宋_GB2312"/>
                <w:sz w:val="21"/>
                <w:szCs w:val="18"/>
                <w:lang w:eastAsia="zh-CN"/>
              </w:rPr>
              <w:t>日常检查</w:t>
            </w:r>
          </w:p>
        </w:tc>
        <w:tc>
          <w:tcPr>
            <w:tcW w:w="4983" w:type="dxa"/>
            <w:noWrap w:val="0"/>
            <w:vAlign w:val="center"/>
          </w:tcPr>
          <w:p>
            <w:pPr>
              <w:pStyle w:val="4"/>
              <w:overflowPunct w:val="0"/>
              <w:spacing w:after="0" w:line="340" w:lineRule="exact"/>
              <w:rPr>
                <w:rFonts w:ascii="仿宋_GB2312" w:hAnsi="宋体" w:eastAsia="仿宋_GB2312"/>
                <w:sz w:val="21"/>
                <w:szCs w:val="18"/>
                <w:lang w:eastAsia="zh-CN"/>
              </w:rPr>
            </w:pPr>
            <w:r>
              <w:rPr>
                <w:rFonts w:ascii="仿宋_GB2312" w:hAnsi="宋体" w:eastAsia="仿宋_GB2312"/>
                <w:sz w:val="21"/>
                <w:szCs w:val="18"/>
                <w:lang w:eastAsia="zh-CN"/>
              </w:rPr>
              <w:t>1.对20</w:t>
            </w:r>
            <w:r>
              <w:rPr>
                <w:rFonts w:hint="eastAsia" w:ascii="仿宋_GB2312" w:hAnsi="宋体" w:eastAsia="仿宋_GB2312"/>
                <w:sz w:val="21"/>
                <w:szCs w:val="18"/>
                <w:lang w:eastAsia="zh-CN"/>
              </w:rPr>
              <w:t>21</w:t>
            </w:r>
            <w:r>
              <w:rPr>
                <w:rFonts w:ascii="仿宋_GB2312" w:hAnsi="宋体" w:eastAsia="仿宋_GB2312"/>
                <w:sz w:val="21"/>
                <w:szCs w:val="18"/>
                <w:lang w:eastAsia="zh-CN"/>
              </w:rPr>
              <w:t>年新开办的零售药店</w:t>
            </w:r>
            <w:r>
              <w:rPr>
                <w:rFonts w:hint="eastAsia" w:ascii="仿宋_GB2312" w:hAnsi="宋体" w:eastAsia="仿宋_GB2312"/>
                <w:sz w:val="21"/>
                <w:szCs w:val="18"/>
                <w:lang w:eastAsia="zh-CN"/>
              </w:rPr>
              <w:t>现场</w:t>
            </w:r>
            <w:r>
              <w:rPr>
                <w:rFonts w:ascii="仿宋_GB2312" w:hAnsi="宋体" w:eastAsia="仿宋_GB2312"/>
                <w:sz w:val="21"/>
                <w:szCs w:val="18"/>
                <w:lang w:eastAsia="zh-CN"/>
              </w:rPr>
              <w:t>检查不少于1次。</w:t>
            </w:r>
          </w:p>
          <w:p>
            <w:pPr>
              <w:pStyle w:val="4"/>
              <w:overflowPunct w:val="0"/>
              <w:spacing w:after="0" w:line="340" w:lineRule="exact"/>
              <w:rPr>
                <w:rFonts w:ascii="仿宋_GB2312" w:hAnsi="宋体" w:eastAsia="仿宋_GB2312"/>
                <w:sz w:val="21"/>
                <w:szCs w:val="18"/>
                <w:lang w:eastAsia="zh-CN"/>
              </w:rPr>
            </w:pPr>
            <w:r>
              <w:rPr>
                <w:rFonts w:ascii="仿宋_GB2312" w:hAnsi="宋体" w:eastAsia="仿宋_GB2312"/>
                <w:sz w:val="21"/>
                <w:szCs w:val="18"/>
                <w:lang w:eastAsia="zh-CN"/>
              </w:rPr>
              <w:t>2.对有</w:t>
            </w:r>
            <w:r>
              <w:rPr>
                <w:rFonts w:hint="eastAsia" w:ascii="仿宋_GB2312" w:hAnsi="宋体" w:eastAsia="仿宋_GB2312"/>
                <w:sz w:val="21"/>
                <w:szCs w:val="18"/>
                <w:lang w:eastAsia="zh-CN"/>
              </w:rPr>
              <w:t>血液制品、</w:t>
            </w:r>
            <w:r>
              <w:rPr>
                <w:rFonts w:ascii="仿宋_GB2312" w:hAnsi="宋体" w:eastAsia="仿宋_GB2312"/>
                <w:sz w:val="21"/>
                <w:szCs w:val="18"/>
                <w:lang w:eastAsia="zh-CN"/>
              </w:rPr>
              <w:t>生物制品经营范围的零售药店</w:t>
            </w:r>
            <w:r>
              <w:rPr>
                <w:rFonts w:hint="eastAsia" w:ascii="仿宋_GB2312" w:hAnsi="宋体" w:eastAsia="仿宋_GB2312"/>
                <w:sz w:val="21"/>
                <w:szCs w:val="18"/>
                <w:lang w:eastAsia="zh-CN"/>
              </w:rPr>
              <w:t>现场</w:t>
            </w:r>
            <w:r>
              <w:rPr>
                <w:rFonts w:ascii="仿宋_GB2312" w:hAnsi="宋体" w:eastAsia="仿宋_GB2312"/>
                <w:sz w:val="21"/>
                <w:szCs w:val="18"/>
                <w:lang w:eastAsia="zh-CN"/>
              </w:rPr>
              <w:t>检查不少于1次。</w:t>
            </w:r>
            <w:bookmarkStart w:id="0" w:name="_GoBack"/>
            <w:bookmarkEnd w:id="0"/>
          </w:p>
          <w:p>
            <w:pPr>
              <w:pStyle w:val="4"/>
              <w:overflowPunct w:val="0"/>
              <w:spacing w:after="0" w:line="340" w:lineRule="exact"/>
              <w:rPr>
                <w:rFonts w:ascii="仿宋_GB2312" w:hAnsi="宋体" w:eastAsia="仿宋_GB2312"/>
                <w:sz w:val="21"/>
                <w:szCs w:val="18"/>
                <w:lang w:eastAsia="zh-CN"/>
              </w:rPr>
            </w:pPr>
            <w:r>
              <w:rPr>
                <w:rFonts w:ascii="仿宋_GB2312" w:hAnsi="宋体" w:eastAsia="仿宋_GB2312"/>
                <w:sz w:val="21"/>
                <w:szCs w:val="18"/>
                <w:lang w:eastAsia="zh-CN"/>
              </w:rPr>
              <w:t>3.</w:t>
            </w:r>
            <w:r>
              <w:rPr>
                <w:rFonts w:hint="eastAsia" w:ascii="仿宋_GB2312" w:hAnsi="黑体" w:eastAsia="仿宋_GB2312"/>
                <w:sz w:val="21"/>
                <w:szCs w:val="18"/>
                <w:lang w:eastAsia="zh-CN"/>
              </w:rPr>
              <w:t>对2020年以来严重违反药品GSP的、多次被投诉举报的，排查巡查发现存在严重质量安全风险的零售药店现场检查每半年不少于1次。</w:t>
            </w:r>
          </w:p>
          <w:p>
            <w:pPr>
              <w:pStyle w:val="4"/>
              <w:overflowPunct w:val="0"/>
              <w:spacing w:after="0" w:line="340" w:lineRule="exact"/>
              <w:rPr>
                <w:rFonts w:hint="eastAsia" w:ascii="仿宋_GB2312" w:hAnsi="宋体" w:eastAsia="仿宋_GB2312"/>
                <w:sz w:val="21"/>
                <w:szCs w:val="18"/>
                <w:lang w:eastAsia="zh-CN"/>
              </w:rPr>
            </w:pPr>
            <w:r>
              <w:rPr>
                <w:rFonts w:hint="eastAsia" w:ascii="仿宋_GB2312" w:hAnsi="宋体" w:eastAsia="仿宋_GB2312"/>
                <w:sz w:val="21"/>
                <w:szCs w:val="18"/>
                <w:lang w:eastAsia="zh-CN"/>
              </w:rPr>
              <w:t>4</w:t>
            </w:r>
            <w:r>
              <w:rPr>
                <w:rFonts w:ascii="仿宋_GB2312" w:hAnsi="宋体" w:eastAsia="仿宋_GB2312"/>
                <w:sz w:val="21"/>
                <w:szCs w:val="18"/>
                <w:lang w:eastAsia="zh-CN"/>
              </w:rPr>
              <w:t>.对</w:t>
            </w:r>
            <w:r>
              <w:rPr>
                <w:rFonts w:hint="eastAsia" w:ascii="仿宋_GB2312" w:hAnsi="宋体" w:eastAsia="仿宋_GB2312"/>
                <w:sz w:val="21"/>
                <w:szCs w:val="18"/>
                <w:lang w:eastAsia="zh-CN"/>
              </w:rPr>
              <w:t>其他</w:t>
            </w:r>
            <w:r>
              <w:rPr>
                <w:rFonts w:ascii="仿宋_GB2312" w:hAnsi="宋体" w:eastAsia="仿宋_GB2312"/>
                <w:sz w:val="21"/>
                <w:szCs w:val="18"/>
                <w:lang w:eastAsia="zh-CN"/>
              </w:rPr>
              <w:t>零售药店</w:t>
            </w:r>
            <w:r>
              <w:rPr>
                <w:rFonts w:hint="eastAsia" w:ascii="仿宋_GB2312" w:hAnsi="宋体" w:eastAsia="仿宋_GB2312"/>
                <w:sz w:val="21"/>
                <w:szCs w:val="18"/>
                <w:lang w:eastAsia="zh-CN"/>
              </w:rPr>
              <w:t>现场</w:t>
            </w:r>
            <w:r>
              <w:rPr>
                <w:rFonts w:ascii="仿宋_GB2312" w:hAnsi="宋体" w:eastAsia="仿宋_GB2312"/>
                <w:sz w:val="21"/>
                <w:szCs w:val="18"/>
                <w:lang w:eastAsia="zh-CN"/>
              </w:rPr>
              <w:t>检查</w:t>
            </w:r>
            <w:r>
              <w:rPr>
                <w:rFonts w:hint="eastAsia" w:ascii="仿宋_GB2312" w:hAnsi="宋体" w:eastAsia="仿宋_GB2312"/>
                <w:sz w:val="21"/>
                <w:szCs w:val="18"/>
                <w:lang w:eastAsia="zh-CN"/>
              </w:rPr>
              <w:t>实行全覆盖。</w:t>
            </w:r>
          </w:p>
          <w:p>
            <w:pPr>
              <w:pStyle w:val="4"/>
              <w:overflowPunct w:val="0"/>
              <w:spacing w:after="0" w:line="340" w:lineRule="exact"/>
              <w:rPr>
                <w:rFonts w:ascii="仿宋_GB2312" w:hAnsi="宋体" w:eastAsia="仿宋_GB2312"/>
                <w:sz w:val="21"/>
                <w:szCs w:val="18"/>
                <w:lang w:eastAsia="zh-CN"/>
              </w:rPr>
            </w:pPr>
            <w:r>
              <w:rPr>
                <w:rFonts w:hint="eastAsia" w:ascii="仿宋_GB2312" w:hAnsi="宋体" w:eastAsia="仿宋_GB2312"/>
                <w:sz w:val="21"/>
                <w:szCs w:val="18"/>
                <w:lang w:eastAsia="zh-CN"/>
              </w:rPr>
              <w:t>5.深入开展药品流通环节风险隐患排查；及时移交违法线索，依法控制风险等。</w:t>
            </w:r>
          </w:p>
          <w:p>
            <w:pPr>
              <w:pStyle w:val="4"/>
              <w:overflowPunct w:val="0"/>
              <w:spacing w:after="0" w:line="340" w:lineRule="exact"/>
              <w:rPr>
                <w:rFonts w:ascii="仿宋_GB2312" w:hAnsi="宋体" w:eastAsia="仿宋_GB2312"/>
                <w:sz w:val="21"/>
                <w:szCs w:val="18"/>
                <w:lang w:eastAsia="zh-CN"/>
              </w:rPr>
            </w:pPr>
            <w:r>
              <w:rPr>
                <w:rFonts w:hint="eastAsia" w:ascii="仿宋_GB2312" w:hAnsi="宋体" w:eastAsia="仿宋_GB2312"/>
                <w:sz w:val="21"/>
                <w:szCs w:val="18"/>
                <w:lang w:eastAsia="zh-CN"/>
              </w:rPr>
              <w:t>6.上级部门</w:t>
            </w:r>
            <w:r>
              <w:rPr>
                <w:rFonts w:ascii="仿宋_GB2312" w:hAnsi="宋体" w:eastAsia="仿宋_GB2312"/>
                <w:sz w:val="21"/>
                <w:szCs w:val="18"/>
                <w:lang w:eastAsia="zh-CN"/>
              </w:rPr>
              <w:t>下达的其他检查任务。</w:t>
            </w:r>
          </w:p>
        </w:tc>
        <w:tc>
          <w:tcPr>
            <w:tcW w:w="4005" w:type="dxa"/>
            <w:noWrap w:val="0"/>
            <w:vAlign w:val="center"/>
          </w:tcPr>
          <w:p>
            <w:pPr>
              <w:pStyle w:val="4"/>
              <w:overflowPunct w:val="0"/>
              <w:spacing w:after="0" w:line="340" w:lineRule="exact"/>
              <w:rPr>
                <w:rFonts w:ascii="仿宋_GB2312" w:hAnsi="黑体" w:eastAsia="仿宋_GB2312"/>
                <w:sz w:val="21"/>
                <w:szCs w:val="18"/>
                <w:lang w:eastAsia="zh-CN"/>
              </w:rPr>
            </w:pPr>
            <w:r>
              <w:rPr>
                <w:rFonts w:ascii="仿宋_GB2312" w:hAnsi="黑体" w:eastAsia="仿宋_GB2312"/>
                <w:sz w:val="21"/>
                <w:szCs w:val="18"/>
                <w:lang w:eastAsia="zh-CN"/>
              </w:rPr>
              <w:t>1.《药品管理法》《麻醉药品和精神药品管理条例》《药品流通监督管理办法》《药品经营质量管理规范》</w:t>
            </w:r>
            <w:r>
              <w:rPr>
                <w:rFonts w:hint="eastAsia" w:ascii="仿宋_GB2312" w:hAnsi="黑体" w:eastAsia="仿宋_GB2312"/>
                <w:sz w:val="21"/>
                <w:szCs w:val="18"/>
                <w:lang w:eastAsia="zh-CN"/>
              </w:rPr>
              <w:t>《药品检查管理办法（试行）》</w:t>
            </w:r>
            <w:r>
              <w:rPr>
                <w:rFonts w:ascii="仿宋_GB2312" w:hAnsi="黑体" w:eastAsia="仿宋_GB2312"/>
                <w:sz w:val="21"/>
                <w:szCs w:val="18"/>
                <w:lang w:eastAsia="zh-CN"/>
              </w:rPr>
              <w:t>等法律法规规定执行情况。</w:t>
            </w:r>
          </w:p>
          <w:p>
            <w:pPr>
              <w:pStyle w:val="4"/>
              <w:overflowPunct w:val="0"/>
              <w:spacing w:after="0" w:line="340" w:lineRule="exact"/>
              <w:rPr>
                <w:rFonts w:ascii="仿宋_GB2312" w:hAnsi="黑体" w:eastAsia="仿宋_GB2312"/>
                <w:sz w:val="21"/>
                <w:szCs w:val="18"/>
                <w:lang w:eastAsia="zh-CN"/>
              </w:rPr>
            </w:pPr>
            <w:r>
              <w:rPr>
                <w:rFonts w:ascii="仿宋_GB2312" w:hAnsi="黑体" w:eastAsia="仿宋_GB2312"/>
                <w:sz w:val="21"/>
                <w:szCs w:val="18"/>
                <w:lang w:eastAsia="zh-CN"/>
              </w:rPr>
              <w:t>2.</w:t>
            </w:r>
            <w:r>
              <w:rPr>
                <w:rFonts w:hint="eastAsia" w:ascii="仿宋_GB2312" w:hAnsi="黑体" w:eastAsia="仿宋_GB2312"/>
                <w:sz w:val="21"/>
                <w:szCs w:val="18"/>
                <w:lang w:eastAsia="zh-CN"/>
              </w:rPr>
              <w:t>《关于深入开展药品安全专项整治行动工作方案》规定的整治重点、任务。</w:t>
            </w:r>
          </w:p>
          <w:p>
            <w:pPr>
              <w:pStyle w:val="4"/>
              <w:overflowPunct w:val="0"/>
              <w:spacing w:after="0" w:line="340" w:lineRule="exact"/>
              <w:rPr>
                <w:rFonts w:hint="eastAsia" w:ascii="仿宋_GB2312" w:hAnsi="黑体" w:eastAsia="仿宋_GB2312"/>
                <w:sz w:val="21"/>
                <w:szCs w:val="18"/>
                <w:lang w:eastAsia="zh-CN"/>
              </w:rPr>
            </w:pPr>
            <w:r>
              <w:rPr>
                <w:rFonts w:hint="eastAsia" w:ascii="仿宋_GB2312" w:hAnsi="黑体" w:eastAsia="仿宋_GB2312"/>
                <w:sz w:val="21"/>
                <w:szCs w:val="18"/>
                <w:lang w:eastAsia="zh-CN"/>
              </w:rPr>
              <w:t>3.其他省药监局和市局要求的监督检查要点。</w:t>
            </w:r>
          </w:p>
        </w:tc>
        <w:tc>
          <w:tcPr>
            <w:tcW w:w="1182" w:type="dxa"/>
            <w:noWrap w:val="0"/>
            <w:vAlign w:val="center"/>
          </w:tcPr>
          <w:p>
            <w:pPr>
              <w:pStyle w:val="4"/>
              <w:overflowPunct w:val="0"/>
              <w:spacing w:after="0" w:line="360" w:lineRule="exact"/>
              <w:jc w:val="center"/>
              <w:rPr>
                <w:rFonts w:hint="eastAsia" w:ascii="仿宋_GB2312" w:hAnsi="黑体" w:eastAsia="仿宋_GB2312"/>
                <w:sz w:val="21"/>
                <w:szCs w:val="18"/>
                <w:lang w:eastAsia="zh-CN"/>
              </w:rPr>
            </w:pPr>
            <w:r>
              <w:rPr>
                <w:rFonts w:hint="eastAsia" w:ascii="仿宋_GB2312" w:hAnsi="黑体" w:eastAsia="仿宋_GB2312"/>
                <w:sz w:val="21"/>
                <w:szCs w:val="18"/>
                <w:lang w:eastAsia="zh-CN"/>
              </w:rPr>
              <w:t>各乡（镇、街道办事处）市场监管所依职</w:t>
            </w:r>
          </w:p>
          <w:p>
            <w:pPr>
              <w:pStyle w:val="4"/>
              <w:overflowPunct w:val="0"/>
              <w:spacing w:after="0" w:line="340" w:lineRule="exact"/>
              <w:rPr>
                <w:rFonts w:hint="eastAsia" w:ascii="仿宋_GB2312" w:hAnsi="黑体" w:eastAsia="仿宋_GB2312"/>
                <w:sz w:val="21"/>
                <w:szCs w:val="18"/>
                <w:lang w:eastAsia="zh-CN"/>
              </w:rPr>
            </w:pPr>
            <w:r>
              <w:rPr>
                <w:rFonts w:hint="eastAsia" w:ascii="仿宋_GB2312" w:hAnsi="黑体" w:eastAsia="仿宋_GB2312"/>
                <w:sz w:val="21"/>
                <w:szCs w:val="18"/>
                <w:lang w:eastAsia="zh-CN"/>
              </w:rPr>
              <w:t>责开展</w:t>
            </w:r>
          </w:p>
        </w:tc>
        <w:tc>
          <w:tcPr>
            <w:tcW w:w="2594" w:type="dxa"/>
            <w:noWrap w:val="0"/>
            <w:vAlign w:val="center"/>
          </w:tcPr>
          <w:p>
            <w:pPr>
              <w:pStyle w:val="4"/>
              <w:overflowPunct w:val="0"/>
              <w:spacing w:after="0" w:line="340" w:lineRule="exact"/>
              <w:rPr>
                <w:rFonts w:ascii="仿宋_GB2312" w:hAnsi="黑体" w:eastAsia="仿宋_GB2312"/>
                <w:sz w:val="21"/>
                <w:szCs w:val="18"/>
                <w:lang w:eastAsia="zh-CN"/>
              </w:rPr>
            </w:pPr>
            <w:r>
              <w:rPr>
                <w:rFonts w:ascii="仿宋_GB2312" w:hAnsi="黑体" w:eastAsia="仿宋_GB2312"/>
                <w:sz w:val="21"/>
                <w:szCs w:val="18"/>
                <w:lang w:eastAsia="zh-CN"/>
              </w:rPr>
              <w:t>1.</w:t>
            </w:r>
            <w:r>
              <w:rPr>
                <w:rFonts w:hint="eastAsia" w:ascii="仿宋_GB2312" w:hAnsi="黑体" w:eastAsia="仿宋_GB2312"/>
                <w:sz w:val="21"/>
                <w:szCs w:val="18"/>
                <w:lang w:eastAsia="zh-CN"/>
              </w:rPr>
              <w:t>县局</w:t>
            </w:r>
            <w:r>
              <w:rPr>
                <w:rFonts w:ascii="仿宋_GB2312" w:hAnsi="黑体" w:eastAsia="仿宋_GB2312"/>
                <w:sz w:val="21"/>
                <w:szCs w:val="18"/>
                <w:lang w:eastAsia="zh-CN"/>
              </w:rPr>
              <w:t>制定本辖区监督检查计划，分解目标任务，按</w:t>
            </w:r>
            <w:r>
              <w:rPr>
                <w:rFonts w:hint="eastAsia" w:ascii="仿宋_GB2312" w:hAnsi="黑体" w:eastAsia="仿宋_GB2312"/>
                <w:sz w:val="21"/>
                <w:szCs w:val="18"/>
                <w:lang w:eastAsia="zh-CN"/>
              </w:rPr>
              <w:t>季度</w:t>
            </w:r>
            <w:r>
              <w:rPr>
                <w:rFonts w:ascii="仿宋_GB2312" w:hAnsi="黑体" w:eastAsia="仿宋_GB2312"/>
                <w:sz w:val="21"/>
                <w:szCs w:val="18"/>
                <w:lang w:eastAsia="zh-CN"/>
              </w:rPr>
              <w:t>推进检查工作。</w:t>
            </w:r>
            <w:r>
              <w:rPr>
                <w:rFonts w:hint="eastAsia" w:ascii="仿宋_GB2312" w:hAnsi="黑体" w:eastAsia="仿宋_GB2312"/>
                <w:sz w:val="21"/>
                <w:szCs w:val="18"/>
                <w:lang w:eastAsia="zh-CN"/>
              </w:rPr>
              <w:t>4</w:t>
            </w:r>
            <w:r>
              <w:rPr>
                <w:rFonts w:ascii="仿宋_GB2312" w:hAnsi="黑体" w:eastAsia="仿宋_GB2312"/>
                <w:sz w:val="21"/>
                <w:szCs w:val="18"/>
                <w:lang w:eastAsia="zh-CN"/>
              </w:rPr>
              <w:t>月</w:t>
            </w:r>
            <w:r>
              <w:rPr>
                <w:rFonts w:hint="eastAsia" w:ascii="仿宋_GB2312" w:hAnsi="黑体" w:eastAsia="仿宋_GB2312"/>
                <w:sz w:val="21"/>
                <w:szCs w:val="18"/>
                <w:lang w:eastAsia="zh-CN"/>
              </w:rPr>
              <w:t>20</w:t>
            </w:r>
            <w:r>
              <w:rPr>
                <w:rFonts w:ascii="仿宋_GB2312" w:hAnsi="黑体" w:eastAsia="仿宋_GB2312"/>
                <w:sz w:val="21"/>
                <w:szCs w:val="18"/>
                <w:lang w:eastAsia="zh-CN"/>
              </w:rPr>
              <w:t>日前</w:t>
            </w:r>
            <w:r>
              <w:rPr>
                <w:rFonts w:hint="eastAsia" w:ascii="仿宋_GB2312" w:hAnsi="黑体" w:eastAsia="仿宋_GB2312"/>
                <w:sz w:val="21"/>
                <w:szCs w:val="18"/>
                <w:lang w:eastAsia="zh-CN"/>
              </w:rPr>
              <w:t>将监督检查计划报市局药品安全监管科备案。</w:t>
            </w:r>
          </w:p>
          <w:p>
            <w:pPr>
              <w:pStyle w:val="4"/>
              <w:overflowPunct w:val="0"/>
              <w:spacing w:after="0" w:line="340" w:lineRule="exact"/>
              <w:rPr>
                <w:rFonts w:ascii="仿宋_GB2312" w:hAnsi="黑体" w:eastAsia="仿宋_GB2312"/>
                <w:sz w:val="21"/>
                <w:szCs w:val="18"/>
                <w:lang w:eastAsia="zh-CN"/>
              </w:rPr>
            </w:pPr>
            <w:r>
              <w:rPr>
                <w:rFonts w:hint="eastAsia" w:ascii="仿宋_GB2312" w:hAnsi="黑体" w:eastAsia="仿宋_GB2312"/>
                <w:sz w:val="21"/>
                <w:szCs w:val="18"/>
                <w:lang w:eastAsia="zh-CN"/>
              </w:rPr>
              <w:t>2</w:t>
            </w:r>
            <w:r>
              <w:rPr>
                <w:rFonts w:ascii="仿宋_GB2312" w:hAnsi="黑体" w:eastAsia="仿宋_GB2312"/>
                <w:sz w:val="21"/>
                <w:szCs w:val="18"/>
                <w:lang w:eastAsia="zh-CN"/>
              </w:rPr>
              <w:t>.</w:t>
            </w:r>
            <w:r>
              <w:rPr>
                <w:rFonts w:hint="eastAsia" w:ascii="仿宋_GB2312" w:hAnsi="黑体" w:eastAsia="仿宋_GB2312"/>
                <w:sz w:val="21"/>
                <w:szCs w:val="18"/>
                <w:lang w:eastAsia="zh-CN"/>
              </w:rPr>
              <w:t>各监管所</w:t>
            </w:r>
            <w:r>
              <w:rPr>
                <w:rFonts w:ascii="仿宋_GB2312" w:hAnsi="黑体" w:eastAsia="仿宋_GB2312"/>
                <w:sz w:val="21"/>
                <w:szCs w:val="18"/>
                <w:lang w:eastAsia="zh-CN"/>
              </w:rPr>
              <w:t>对检查发现的问题依法依规</w:t>
            </w:r>
            <w:r>
              <w:rPr>
                <w:rFonts w:hint="eastAsia" w:ascii="仿宋_GB2312" w:hAnsi="黑体" w:eastAsia="仿宋_GB2312"/>
                <w:sz w:val="21"/>
                <w:szCs w:val="18"/>
                <w:lang w:eastAsia="zh-CN"/>
              </w:rPr>
              <w:t>查处</w:t>
            </w:r>
            <w:r>
              <w:rPr>
                <w:rFonts w:ascii="仿宋_GB2312" w:hAnsi="黑体" w:eastAsia="仿宋_GB2312"/>
                <w:sz w:val="21"/>
                <w:szCs w:val="18"/>
                <w:lang w:eastAsia="zh-CN"/>
              </w:rPr>
              <w:t>。</w:t>
            </w:r>
          </w:p>
          <w:p>
            <w:pPr>
              <w:pStyle w:val="4"/>
              <w:overflowPunct w:val="0"/>
              <w:spacing w:after="0" w:line="340" w:lineRule="exact"/>
              <w:rPr>
                <w:rFonts w:ascii="仿宋_GB2312" w:hAnsi="黑体" w:eastAsia="仿宋_GB2312"/>
                <w:sz w:val="21"/>
                <w:szCs w:val="18"/>
                <w:lang w:eastAsia="zh-CN"/>
              </w:rPr>
            </w:pPr>
            <w:r>
              <w:rPr>
                <w:rFonts w:hint="eastAsia" w:ascii="仿宋_GB2312" w:hAnsi="黑体" w:eastAsia="仿宋_GB2312"/>
                <w:sz w:val="21"/>
                <w:szCs w:val="18"/>
                <w:lang w:eastAsia="zh-CN"/>
              </w:rPr>
              <w:t>3.</w:t>
            </w:r>
            <w:r>
              <w:rPr>
                <w:rFonts w:ascii="仿宋_GB2312" w:hAnsi="黑体" w:eastAsia="仿宋_GB2312"/>
                <w:sz w:val="21"/>
                <w:szCs w:val="18"/>
                <w:lang w:eastAsia="zh-CN"/>
              </w:rPr>
              <w:t>建立完善检查档案。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80" w:hRule="atLeast"/>
          <w:jc w:val="center"/>
        </w:trPr>
        <w:tc>
          <w:tcPr>
            <w:tcW w:w="486" w:type="dxa"/>
            <w:noWrap w:val="0"/>
            <w:vAlign w:val="center"/>
          </w:tcPr>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0"/>
                <w:szCs w:val="18"/>
                <w:lang w:val="en-US" w:eastAsia="zh-CN"/>
              </w:rPr>
              <w:t>2</w:t>
            </w:r>
          </w:p>
        </w:tc>
        <w:tc>
          <w:tcPr>
            <w:tcW w:w="787" w:type="dxa"/>
            <w:noWrap w:val="0"/>
            <w:vAlign w:val="center"/>
          </w:tcPr>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0"/>
                <w:szCs w:val="18"/>
                <w:lang w:eastAsia="zh-CN"/>
              </w:rPr>
              <w:t>医疗</w:t>
            </w:r>
          </w:p>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0"/>
                <w:szCs w:val="18"/>
                <w:lang w:eastAsia="zh-CN"/>
              </w:rPr>
              <w:t>机构</w:t>
            </w:r>
          </w:p>
        </w:tc>
        <w:tc>
          <w:tcPr>
            <w:tcW w:w="541" w:type="dxa"/>
            <w:noWrap w:val="0"/>
            <w:vAlign w:val="center"/>
          </w:tcPr>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0"/>
                <w:szCs w:val="18"/>
                <w:lang w:eastAsia="zh-CN"/>
              </w:rPr>
              <w:t>日常检查</w:t>
            </w:r>
          </w:p>
        </w:tc>
        <w:tc>
          <w:tcPr>
            <w:tcW w:w="4983" w:type="dxa"/>
            <w:noWrap w:val="0"/>
            <w:vAlign w:val="center"/>
          </w:tcPr>
          <w:p>
            <w:pPr>
              <w:pStyle w:val="4"/>
              <w:overflowPunct w:val="0"/>
              <w:spacing w:after="0" w:line="360" w:lineRule="exact"/>
              <w:rPr>
                <w:rFonts w:hint="eastAsia" w:ascii="仿宋_GB2312" w:hAnsi="黑体" w:eastAsia="仿宋_GB2312"/>
                <w:sz w:val="20"/>
                <w:szCs w:val="18"/>
                <w:lang w:eastAsia="zh-CN"/>
              </w:rPr>
            </w:pPr>
          </w:p>
          <w:p>
            <w:pPr>
              <w:pStyle w:val="4"/>
              <w:numPr>
                <w:ilvl w:val="0"/>
                <w:numId w:val="1"/>
              </w:numPr>
              <w:overflowPunct w:val="0"/>
              <w:spacing w:after="0" w:line="360" w:lineRule="exact"/>
              <w:rPr>
                <w:rFonts w:hint="eastAsia" w:ascii="仿宋_GB2312" w:hAnsi="黑体" w:eastAsia="仿宋_GB2312"/>
                <w:sz w:val="20"/>
                <w:szCs w:val="18"/>
                <w:lang w:eastAsia="zh-CN"/>
              </w:rPr>
            </w:pPr>
            <w:r>
              <w:rPr>
                <w:rFonts w:hint="eastAsia" w:ascii="仿宋_GB2312" w:hAnsi="黑体" w:eastAsia="仿宋_GB2312"/>
                <w:sz w:val="20"/>
                <w:szCs w:val="18"/>
                <w:lang w:eastAsia="zh-CN"/>
              </w:rPr>
              <w:t>对医疗机构现场检查实行全覆盖。配合市局对所属县区的医疗机构监督抽查不少于5家。</w:t>
            </w:r>
          </w:p>
          <w:p>
            <w:pPr>
              <w:pStyle w:val="4"/>
              <w:numPr>
                <w:ilvl w:val="0"/>
                <w:numId w:val="1"/>
              </w:numPr>
              <w:overflowPunct w:val="0"/>
              <w:spacing w:after="0" w:line="360" w:lineRule="exact"/>
              <w:rPr>
                <w:rFonts w:ascii="仿宋_GB2312" w:hAnsi="黑体" w:eastAsia="仿宋_GB2312"/>
                <w:sz w:val="20"/>
                <w:szCs w:val="18"/>
                <w:lang w:eastAsia="zh-CN"/>
              </w:rPr>
            </w:pPr>
            <w:r>
              <w:rPr>
                <w:rFonts w:hint="eastAsia" w:ascii="仿宋_GB2312" w:hAnsi="黑体" w:eastAsia="仿宋_GB2312"/>
                <w:sz w:val="20"/>
                <w:szCs w:val="18"/>
                <w:lang w:eastAsia="zh-CN"/>
              </w:rPr>
              <w:t>深入排查药品使用环节质量安全隐患，保障药品使用质量安全。</w:t>
            </w:r>
          </w:p>
        </w:tc>
        <w:tc>
          <w:tcPr>
            <w:tcW w:w="4005" w:type="dxa"/>
            <w:noWrap w:val="0"/>
            <w:vAlign w:val="center"/>
          </w:tcPr>
          <w:p>
            <w:pPr>
              <w:pStyle w:val="4"/>
              <w:overflowPunct w:val="0"/>
              <w:spacing w:after="0" w:line="360" w:lineRule="exact"/>
              <w:jc w:val="both"/>
              <w:rPr>
                <w:rFonts w:hint="eastAsia" w:ascii="仿宋_GB2312" w:hAnsi="黑体" w:eastAsia="仿宋_GB2312"/>
                <w:sz w:val="20"/>
                <w:szCs w:val="18"/>
                <w:lang w:eastAsia="zh-CN"/>
              </w:rPr>
            </w:pPr>
            <w:r>
              <w:rPr>
                <w:rFonts w:hint="eastAsia" w:ascii="仿宋_GB2312" w:hAnsi="黑体" w:eastAsia="仿宋_GB2312"/>
                <w:sz w:val="20"/>
                <w:szCs w:val="18"/>
                <w:lang w:eastAsia="zh-CN"/>
              </w:rPr>
              <w:t>1.《药品管理法》《疫苗管理法》《麻醉药品和精神药品管理条例》《疫苗储存和运输管理规范（2017年版）》、原国家食品药品监督管理局制定的《医疗机构药品监督管理办法（试行）》（国食药监安〔2011〕442号）等法律法规及国家关于药品使用质量管理的相关规定的执行情况。</w:t>
            </w:r>
          </w:p>
          <w:p>
            <w:pPr>
              <w:pStyle w:val="4"/>
              <w:overflowPunct w:val="0"/>
              <w:spacing w:after="0" w:line="360" w:lineRule="exact"/>
              <w:jc w:val="both"/>
              <w:rPr>
                <w:rFonts w:ascii="仿宋_GB2312" w:hAnsi="黑体" w:eastAsia="仿宋_GB2312"/>
                <w:sz w:val="20"/>
                <w:szCs w:val="18"/>
                <w:lang w:eastAsia="zh-CN"/>
              </w:rPr>
            </w:pPr>
            <w:r>
              <w:rPr>
                <w:rFonts w:hint="eastAsia" w:ascii="仿宋_GB2312" w:hAnsi="黑体" w:eastAsia="仿宋_GB2312"/>
                <w:sz w:val="20"/>
                <w:szCs w:val="18"/>
                <w:lang w:eastAsia="zh-CN"/>
              </w:rPr>
              <w:t>2.《关于深入开展药品安全专项整治行动工作方案》规定的整治重点、任务。</w:t>
            </w:r>
          </w:p>
        </w:tc>
        <w:tc>
          <w:tcPr>
            <w:tcW w:w="1182" w:type="dxa"/>
            <w:noWrap w:val="0"/>
            <w:vAlign w:val="center"/>
          </w:tcPr>
          <w:p>
            <w:pPr>
              <w:pStyle w:val="4"/>
              <w:overflowPunct w:val="0"/>
              <w:spacing w:after="0" w:line="360" w:lineRule="exact"/>
              <w:jc w:val="center"/>
              <w:rPr>
                <w:rFonts w:hint="eastAsia" w:ascii="仿宋_GB2312" w:hAnsi="黑体" w:eastAsia="仿宋_GB2312"/>
                <w:sz w:val="21"/>
                <w:szCs w:val="18"/>
                <w:lang w:eastAsia="zh-CN"/>
              </w:rPr>
            </w:pPr>
            <w:r>
              <w:rPr>
                <w:rFonts w:hint="eastAsia" w:ascii="仿宋_GB2312" w:hAnsi="黑体" w:eastAsia="仿宋_GB2312"/>
                <w:sz w:val="21"/>
                <w:szCs w:val="18"/>
                <w:lang w:eastAsia="zh-CN"/>
              </w:rPr>
              <w:t>各乡（镇、街道办事处）市场监管所依职</w:t>
            </w:r>
          </w:p>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1"/>
                <w:szCs w:val="18"/>
                <w:lang w:eastAsia="zh-CN"/>
              </w:rPr>
              <w:t>责开展</w:t>
            </w:r>
          </w:p>
        </w:tc>
        <w:tc>
          <w:tcPr>
            <w:tcW w:w="2594" w:type="dxa"/>
            <w:noWrap w:val="0"/>
            <w:vAlign w:val="center"/>
          </w:tcPr>
          <w:p>
            <w:pPr>
              <w:pStyle w:val="4"/>
              <w:overflowPunct w:val="0"/>
              <w:spacing w:after="0" w:line="360" w:lineRule="exact"/>
              <w:jc w:val="both"/>
              <w:rPr>
                <w:rFonts w:ascii="仿宋_GB2312" w:hAnsi="黑体" w:eastAsia="仿宋_GB2312"/>
                <w:sz w:val="20"/>
                <w:szCs w:val="18"/>
                <w:lang w:eastAsia="zh-CN"/>
              </w:rPr>
            </w:pPr>
            <w:r>
              <w:rPr>
                <w:rFonts w:hint="eastAsia" w:ascii="仿宋_GB2312" w:hAnsi="黑体" w:eastAsia="仿宋_GB2312"/>
                <w:sz w:val="20"/>
                <w:szCs w:val="18"/>
                <w:lang w:eastAsia="zh-CN"/>
              </w:rPr>
              <w:t>1.对监督检查中发现的问题依法依规进行查处。需向卫生健康等部门通报反馈的，按规定通报反馈。</w:t>
            </w:r>
          </w:p>
          <w:p>
            <w:pPr>
              <w:pStyle w:val="4"/>
              <w:overflowPunct w:val="0"/>
              <w:spacing w:after="0" w:line="360" w:lineRule="exact"/>
              <w:jc w:val="both"/>
              <w:rPr>
                <w:rFonts w:ascii="仿宋_GB2312" w:hAnsi="黑体" w:eastAsia="仿宋_GB2312"/>
                <w:sz w:val="20"/>
                <w:szCs w:val="18"/>
                <w:lang w:eastAsia="zh-CN"/>
              </w:rPr>
            </w:pPr>
            <w:r>
              <w:rPr>
                <w:rFonts w:hint="eastAsia" w:ascii="仿宋_GB2312" w:hAnsi="黑体" w:eastAsia="仿宋_GB2312"/>
                <w:sz w:val="20"/>
                <w:szCs w:val="18"/>
                <w:lang w:eastAsia="zh-CN"/>
              </w:rPr>
              <w:t>2.建立完善检查档案。</w:t>
            </w:r>
          </w:p>
        </w:tc>
      </w:tr>
    </w:tbl>
    <w:p>
      <w:pPr>
        <w:pStyle w:val="4"/>
        <w:overflowPunct w:val="0"/>
        <w:spacing w:after="0" w:line="360" w:lineRule="exact"/>
        <w:jc w:val="center"/>
        <w:rPr>
          <w:rFonts w:hint="eastAsia" w:ascii="仿宋_GB2312" w:hAnsi="黑体" w:eastAsia="仿宋_GB2312"/>
          <w:sz w:val="20"/>
          <w:szCs w:val="18"/>
          <w:lang w:val="en-US" w:eastAsia="zh-CN"/>
        </w:rPr>
        <w:sectPr>
          <w:footerReference r:id="rId3" w:type="default"/>
          <w:pgSz w:w="16838" w:h="11906" w:orient="landscape"/>
          <w:pgMar w:top="1587" w:right="2098" w:bottom="1474" w:left="1984" w:header="851" w:footer="992" w:gutter="0"/>
          <w:pgNumType w:fmt="decimal" w:start="1"/>
          <w:cols w:space="720" w:num="1"/>
          <w:docGrid w:type="lines" w:linePitch="312" w:charSpace="0"/>
        </w:sectPr>
      </w:pPr>
    </w:p>
    <w:tbl>
      <w:tblPr>
        <w:tblStyle w:val="10"/>
        <w:tblW w:w="14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86"/>
        <w:gridCol w:w="787"/>
        <w:gridCol w:w="541"/>
        <w:gridCol w:w="4983"/>
        <w:gridCol w:w="4005"/>
        <w:gridCol w:w="1182"/>
        <w:gridCol w:w="2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05" w:hRule="atLeast"/>
          <w:jc w:val="center"/>
        </w:trPr>
        <w:tc>
          <w:tcPr>
            <w:tcW w:w="486" w:type="dxa"/>
            <w:noWrap w:val="0"/>
            <w:vAlign w:val="center"/>
          </w:tcPr>
          <w:p>
            <w:pPr>
              <w:pStyle w:val="4"/>
              <w:overflowPunct w:val="0"/>
              <w:spacing w:after="0" w:line="360" w:lineRule="exact"/>
              <w:jc w:val="center"/>
              <w:rPr>
                <w:rFonts w:ascii="仿宋_GB2312" w:hAnsi="黑体" w:eastAsia="仿宋_GB2312"/>
                <w:sz w:val="20"/>
                <w:szCs w:val="18"/>
                <w:lang w:eastAsia="zh-CN"/>
              </w:rPr>
            </w:pPr>
            <w:r>
              <w:rPr>
                <w:rFonts w:hint="eastAsia" w:ascii="仿宋_GB2312" w:hAnsi="黑体" w:eastAsia="仿宋_GB2312"/>
                <w:sz w:val="20"/>
                <w:szCs w:val="18"/>
                <w:lang w:val="en-US" w:eastAsia="zh-CN"/>
              </w:rPr>
              <w:t>3</w:t>
            </w:r>
          </w:p>
        </w:tc>
        <w:tc>
          <w:tcPr>
            <w:tcW w:w="787" w:type="dxa"/>
            <w:noWrap w:val="0"/>
            <w:vAlign w:val="center"/>
          </w:tcPr>
          <w:p>
            <w:pPr>
              <w:pStyle w:val="4"/>
              <w:overflowPunct w:val="0"/>
              <w:spacing w:after="0" w:line="360" w:lineRule="exact"/>
              <w:jc w:val="center"/>
              <w:rPr>
                <w:rFonts w:hint="eastAsia" w:ascii="仿宋_GB2312" w:hAnsi="黑体" w:eastAsia="仿宋_GB2312"/>
                <w:sz w:val="20"/>
                <w:szCs w:val="18"/>
                <w:lang w:eastAsia="zh-CN"/>
              </w:rPr>
            </w:pPr>
            <w:r>
              <w:rPr>
                <w:rFonts w:hint="eastAsia" w:ascii="仿宋_GB2312" w:hAnsi="黑体" w:eastAsia="仿宋_GB2312"/>
                <w:sz w:val="20"/>
                <w:szCs w:val="18"/>
                <w:lang w:eastAsia="zh-CN"/>
              </w:rPr>
              <w:t>疾控机构及疫苗接种单位</w:t>
            </w:r>
          </w:p>
        </w:tc>
        <w:tc>
          <w:tcPr>
            <w:tcW w:w="541" w:type="dxa"/>
            <w:noWrap w:val="0"/>
            <w:vAlign w:val="center"/>
          </w:tcPr>
          <w:p>
            <w:pPr>
              <w:pStyle w:val="4"/>
              <w:overflowPunct w:val="0"/>
              <w:spacing w:after="0" w:line="360" w:lineRule="exact"/>
              <w:jc w:val="center"/>
              <w:rPr>
                <w:rFonts w:hint="eastAsia" w:ascii="仿宋_GB2312" w:hAnsi="黑体" w:eastAsia="仿宋_GB2312"/>
                <w:sz w:val="20"/>
                <w:szCs w:val="18"/>
                <w:lang w:eastAsia="zh-CN"/>
              </w:rPr>
            </w:pPr>
            <w:r>
              <w:rPr>
                <w:rFonts w:hint="eastAsia" w:ascii="仿宋_GB2312" w:hAnsi="黑体" w:eastAsia="仿宋_GB2312"/>
                <w:sz w:val="20"/>
                <w:szCs w:val="18"/>
                <w:lang w:eastAsia="zh-CN"/>
              </w:rPr>
              <w:t>日常检查</w:t>
            </w:r>
          </w:p>
        </w:tc>
        <w:tc>
          <w:tcPr>
            <w:tcW w:w="4983" w:type="dxa"/>
            <w:noWrap w:val="0"/>
            <w:vAlign w:val="center"/>
          </w:tcPr>
          <w:p>
            <w:pPr>
              <w:pStyle w:val="4"/>
              <w:numPr>
                <w:ilvl w:val="0"/>
                <w:numId w:val="2"/>
              </w:numPr>
              <w:overflowPunct w:val="0"/>
              <w:spacing w:after="0" w:line="360" w:lineRule="exact"/>
              <w:rPr>
                <w:rFonts w:hint="eastAsia" w:ascii="仿宋_GB2312" w:hAnsi="黑体" w:eastAsia="仿宋_GB2312"/>
                <w:sz w:val="20"/>
                <w:szCs w:val="18"/>
                <w:lang w:eastAsia="zh-CN"/>
              </w:rPr>
            </w:pPr>
            <w:r>
              <w:rPr>
                <w:rFonts w:hint="eastAsia" w:ascii="仿宋_GB2312" w:hAnsi="黑体" w:eastAsia="仿宋_GB2312"/>
                <w:sz w:val="20"/>
                <w:szCs w:val="18"/>
                <w:lang w:eastAsia="zh-CN"/>
              </w:rPr>
              <w:t>对辖区疾控机构、接种单位现场检查实行全覆盖。</w:t>
            </w:r>
          </w:p>
          <w:p>
            <w:pPr>
              <w:pStyle w:val="4"/>
              <w:numPr>
                <w:ilvl w:val="0"/>
                <w:numId w:val="2"/>
              </w:numPr>
              <w:overflowPunct w:val="0"/>
              <w:spacing w:after="0" w:line="360" w:lineRule="exact"/>
              <w:rPr>
                <w:rFonts w:hint="eastAsia" w:ascii="仿宋_GB2312" w:hAnsi="黑体" w:eastAsia="仿宋_GB2312"/>
                <w:sz w:val="20"/>
                <w:szCs w:val="18"/>
                <w:lang w:eastAsia="zh-CN"/>
              </w:rPr>
            </w:pPr>
            <w:r>
              <w:rPr>
                <w:rFonts w:hint="eastAsia" w:ascii="仿宋_GB2312" w:hAnsi="黑体" w:eastAsia="仿宋_GB2312"/>
                <w:sz w:val="20"/>
                <w:szCs w:val="18"/>
                <w:lang w:eastAsia="zh-CN"/>
              </w:rPr>
              <w:t>配合市局对疾控机构全覆盖检查，对所属县区接种单位监督抽查各不少于3家。</w:t>
            </w:r>
          </w:p>
          <w:p>
            <w:pPr>
              <w:pStyle w:val="4"/>
              <w:numPr>
                <w:ilvl w:val="0"/>
                <w:numId w:val="2"/>
              </w:numPr>
              <w:overflowPunct w:val="0"/>
              <w:spacing w:after="0" w:line="360" w:lineRule="exact"/>
              <w:rPr>
                <w:rFonts w:hint="eastAsia" w:ascii="仿宋_GB2312" w:hAnsi="黑体" w:eastAsia="仿宋_GB2312"/>
                <w:sz w:val="20"/>
                <w:szCs w:val="18"/>
                <w:lang w:eastAsia="zh-CN"/>
              </w:rPr>
            </w:pPr>
            <w:r>
              <w:rPr>
                <w:rFonts w:hint="eastAsia" w:ascii="仿宋_GB2312" w:hAnsi="黑体" w:eastAsia="仿宋_GB2312"/>
                <w:sz w:val="20"/>
                <w:szCs w:val="18"/>
                <w:lang w:eastAsia="zh-CN"/>
              </w:rPr>
              <w:t>深入排查疫苗使用环节质量安全隐患，压实疾控机构、接种单位质量管理责任，保障疫苗质量安全。</w:t>
            </w:r>
          </w:p>
        </w:tc>
        <w:tc>
          <w:tcPr>
            <w:tcW w:w="4005" w:type="dxa"/>
            <w:noWrap w:val="0"/>
            <w:vAlign w:val="center"/>
          </w:tcPr>
          <w:p>
            <w:pPr>
              <w:pStyle w:val="4"/>
              <w:numPr>
                <w:ilvl w:val="0"/>
                <w:numId w:val="3"/>
              </w:numPr>
              <w:overflowPunct w:val="0"/>
              <w:spacing w:after="0" w:line="360" w:lineRule="exact"/>
              <w:jc w:val="both"/>
              <w:rPr>
                <w:rFonts w:hint="eastAsia" w:ascii="仿宋_GB2312" w:hAnsi="黑体" w:eastAsia="仿宋_GB2312"/>
                <w:sz w:val="20"/>
                <w:szCs w:val="18"/>
                <w:lang w:eastAsia="zh-CN"/>
              </w:rPr>
            </w:pPr>
            <w:r>
              <w:rPr>
                <w:rFonts w:hint="eastAsia" w:ascii="仿宋_GB2312" w:hAnsi="黑体" w:eastAsia="仿宋_GB2312"/>
                <w:sz w:val="20"/>
                <w:szCs w:val="18"/>
                <w:lang w:eastAsia="zh-CN"/>
              </w:rPr>
              <w:t>《药品管理法》《疫苗管理法》《疫苗储存和运输管理规范（2017年版）》。</w:t>
            </w:r>
          </w:p>
          <w:p>
            <w:pPr>
              <w:pStyle w:val="4"/>
              <w:numPr>
                <w:ilvl w:val="0"/>
                <w:numId w:val="3"/>
              </w:numPr>
              <w:overflowPunct w:val="0"/>
              <w:spacing w:after="0" w:line="360" w:lineRule="exact"/>
              <w:jc w:val="both"/>
              <w:rPr>
                <w:rFonts w:hint="eastAsia" w:ascii="仿宋_GB2312" w:hAnsi="黑体" w:eastAsia="仿宋_GB2312"/>
                <w:sz w:val="20"/>
                <w:szCs w:val="18"/>
                <w:lang w:eastAsia="zh-CN"/>
              </w:rPr>
            </w:pPr>
            <w:r>
              <w:rPr>
                <w:rFonts w:hint="eastAsia" w:ascii="仿宋_GB2312" w:hAnsi="黑体" w:eastAsia="仿宋_GB2312"/>
                <w:sz w:val="20"/>
                <w:szCs w:val="18"/>
                <w:lang w:eastAsia="zh-CN"/>
              </w:rPr>
              <w:t>《河南省新冠病毒疫苗接种工作实施方案》（豫疫情防指（2021）3号）《河南省市场监管局河南省药监局加强新冠病毒疫苗生产流通环节监管工作方案》（豫药监综药生〔2020〕60号）和省药监局《关于进一步加强新冠病毒疫苗质量监管工作的通知》（豫药监综药流〔2021〕3号）有关要求。</w:t>
            </w:r>
          </w:p>
          <w:p>
            <w:pPr>
              <w:pStyle w:val="4"/>
              <w:numPr>
                <w:ilvl w:val="0"/>
                <w:numId w:val="3"/>
              </w:numPr>
              <w:overflowPunct w:val="0"/>
              <w:spacing w:after="0" w:line="360" w:lineRule="exact"/>
              <w:jc w:val="both"/>
              <w:rPr>
                <w:rFonts w:ascii="仿宋_GB2312" w:hAnsi="黑体" w:eastAsia="仿宋_GB2312"/>
                <w:sz w:val="20"/>
                <w:szCs w:val="18"/>
                <w:lang w:eastAsia="zh-CN"/>
              </w:rPr>
            </w:pPr>
            <w:r>
              <w:rPr>
                <w:rFonts w:hint="eastAsia" w:ascii="仿宋_GB2312" w:hAnsi="黑体" w:eastAsia="仿宋_GB2312"/>
                <w:sz w:val="20"/>
                <w:szCs w:val="18"/>
                <w:lang w:eastAsia="zh-CN"/>
              </w:rPr>
              <w:t>《关于深入开展药品安全专项整治行动工作方案》规定的整治重点、任务。</w:t>
            </w:r>
          </w:p>
        </w:tc>
        <w:tc>
          <w:tcPr>
            <w:tcW w:w="1182" w:type="dxa"/>
            <w:noWrap w:val="0"/>
            <w:vAlign w:val="center"/>
          </w:tcPr>
          <w:p>
            <w:pPr>
              <w:pStyle w:val="4"/>
              <w:overflowPunct w:val="0"/>
              <w:spacing w:after="0" w:line="360" w:lineRule="exact"/>
              <w:jc w:val="center"/>
              <w:rPr>
                <w:rFonts w:hint="eastAsia" w:ascii="仿宋_GB2312" w:hAnsi="黑体" w:eastAsia="仿宋_GB2312"/>
                <w:sz w:val="21"/>
                <w:szCs w:val="18"/>
                <w:lang w:eastAsia="zh-CN"/>
              </w:rPr>
            </w:pPr>
            <w:r>
              <w:rPr>
                <w:rFonts w:hint="eastAsia" w:ascii="仿宋_GB2312" w:hAnsi="黑体" w:eastAsia="仿宋_GB2312"/>
                <w:sz w:val="21"/>
                <w:szCs w:val="18"/>
                <w:lang w:eastAsia="zh-CN"/>
              </w:rPr>
              <w:t>各乡（镇、街道办事处）市场监管所依职</w:t>
            </w:r>
          </w:p>
          <w:p>
            <w:pPr>
              <w:pStyle w:val="4"/>
              <w:overflowPunct w:val="0"/>
              <w:spacing w:after="0" w:line="360" w:lineRule="exact"/>
              <w:jc w:val="center"/>
              <w:rPr>
                <w:rFonts w:hint="eastAsia" w:ascii="仿宋_GB2312" w:hAnsi="黑体" w:eastAsia="仿宋_GB2312"/>
                <w:sz w:val="21"/>
                <w:szCs w:val="18"/>
                <w:lang w:eastAsia="zh-CN"/>
              </w:rPr>
            </w:pPr>
            <w:r>
              <w:rPr>
                <w:rFonts w:hint="eastAsia" w:ascii="仿宋_GB2312" w:hAnsi="黑体" w:eastAsia="仿宋_GB2312"/>
                <w:sz w:val="21"/>
                <w:szCs w:val="18"/>
                <w:lang w:eastAsia="zh-CN"/>
              </w:rPr>
              <w:t>责开展</w:t>
            </w:r>
          </w:p>
        </w:tc>
        <w:tc>
          <w:tcPr>
            <w:tcW w:w="2594" w:type="dxa"/>
            <w:noWrap w:val="0"/>
            <w:vAlign w:val="center"/>
          </w:tcPr>
          <w:p>
            <w:pPr>
              <w:pStyle w:val="4"/>
              <w:overflowPunct w:val="0"/>
              <w:spacing w:after="0" w:line="360" w:lineRule="exact"/>
              <w:jc w:val="both"/>
              <w:rPr>
                <w:rFonts w:ascii="仿宋_GB2312" w:hAnsi="黑体" w:eastAsia="仿宋_GB2312"/>
                <w:sz w:val="20"/>
                <w:szCs w:val="18"/>
                <w:lang w:eastAsia="zh-CN"/>
              </w:rPr>
            </w:pPr>
            <w:r>
              <w:rPr>
                <w:rFonts w:hint="eastAsia" w:ascii="仿宋_GB2312" w:hAnsi="黑体" w:eastAsia="仿宋_GB2312"/>
                <w:sz w:val="20"/>
                <w:szCs w:val="18"/>
                <w:lang w:eastAsia="zh-CN"/>
              </w:rPr>
              <w:t>1.对检查发现的问题依法依规查处。需向卫生健康等部门通报反馈情况的，按规定通报反馈。</w:t>
            </w:r>
          </w:p>
          <w:p>
            <w:pPr>
              <w:pStyle w:val="4"/>
              <w:overflowPunct w:val="0"/>
              <w:spacing w:after="0" w:line="360" w:lineRule="exact"/>
              <w:jc w:val="both"/>
              <w:rPr>
                <w:rFonts w:hint="eastAsia" w:ascii="仿宋_GB2312" w:hAnsi="黑体" w:eastAsia="仿宋_GB2312"/>
                <w:sz w:val="20"/>
                <w:szCs w:val="18"/>
                <w:lang w:eastAsia="zh-CN"/>
              </w:rPr>
            </w:pPr>
            <w:r>
              <w:rPr>
                <w:rFonts w:hint="eastAsia" w:ascii="仿宋_GB2312" w:hAnsi="黑体" w:eastAsia="仿宋_GB2312"/>
                <w:sz w:val="20"/>
                <w:szCs w:val="18"/>
                <w:lang w:eastAsia="zh-CN"/>
              </w:rPr>
              <w:t>2.建立完善检查档案。</w:t>
            </w:r>
          </w:p>
        </w:tc>
      </w:tr>
    </w:tbl>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0"/>
        <w:textAlignment w:val="auto"/>
        <w:outlineLvl w:val="9"/>
        <w:rPr>
          <w:rFonts w:hint="eastAsia"/>
          <w:lang w:val="en-US" w:eastAsia="zh-CN"/>
        </w:rPr>
      </w:pPr>
      <w:r>
        <w:rPr>
          <w:rFonts w:hint="eastAsia" w:ascii="仿宋_GB2312" w:hAnsi="仿宋" w:eastAsia="仿宋_GB2312"/>
          <w:snapToGrid w:val="0"/>
          <w:kern w:val="0"/>
          <w:sz w:val="32"/>
          <w:szCs w:val="32"/>
        </w:rPr>
        <w:t xml:space="preserve">  </w:t>
      </w:r>
      <w:r>
        <w:rPr>
          <w:rFonts w:hint="eastAsia" w:ascii="仿宋_GB2312" w:eastAsia="仿宋_GB2312"/>
          <w:color w:val="000000"/>
          <w:kern w:val="0"/>
          <w:sz w:val="32"/>
          <w:szCs w:val="32"/>
          <w:shd w:val="clear" w:color="auto" w:fill="FFFFFF"/>
        </w:rPr>
        <w:t xml:space="preserve">                       </w:t>
      </w:r>
    </w:p>
    <w:sectPr>
      <w:footerReference r:id="rId4" w:type="default"/>
      <w:pgSz w:w="16838" w:h="11906" w:orient="landscape"/>
      <w:pgMar w:top="1587" w:right="2098" w:bottom="1474" w:left="1984"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52F582-975E-48AA-9794-C52795C06F5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4BC8707-D92E-4760-B1F2-46B229312723}"/>
  </w:font>
  <w:font w:name="微软雅黑">
    <w:panose1 w:val="020B0503020204020204"/>
    <w:charset w:val="86"/>
    <w:family w:val="swiss"/>
    <w:pitch w:val="default"/>
    <w:sig w:usb0="80000287" w:usb1="280F3C52" w:usb2="00000016" w:usb3="00000000" w:csb0="0004001F" w:csb1="00000000"/>
    <w:embedRegular r:id="rId3" w:fontKey="{EDCB31B1-EC41-4986-A4C1-CAB58DC50296}"/>
  </w:font>
  <w:font w:name="仿宋_GB2312">
    <w:panose1 w:val="02010609030101010101"/>
    <w:charset w:val="86"/>
    <w:family w:val="modern"/>
    <w:pitch w:val="default"/>
    <w:sig w:usb0="00000001" w:usb1="080E0000" w:usb2="00000000" w:usb3="00000000" w:csb0="00040000" w:csb1="00000000"/>
    <w:embedRegular r:id="rId4" w:fontKey="{0FC2E1AF-0957-4419-9872-048B5867BA8B}"/>
  </w:font>
  <w:font w:name="仿宋">
    <w:panose1 w:val="02010609060101010101"/>
    <w:charset w:val="86"/>
    <w:family w:val="auto"/>
    <w:pitch w:val="default"/>
    <w:sig w:usb0="800002BF" w:usb1="38CF7CFA" w:usb2="00000016" w:usb3="00000000" w:csb0="00040001" w:csb1="00000000"/>
    <w:embedRegular r:id="rId5" w:fontKey="{DA2845A8-91D1-4CD3-ADDC-CB3849CC041F}"/>
  </w:font>
  <w:font w:name="方正小标宋_GBK">
    <w:panose1 w:val="02000000000000000000"/>
    <w:charset w:val="86"/>
    <w:family w:val="script"/>
    <w:pitch w:val="default"/>
    <w:sig w:usb0="A00002BF" w:usb1="38CF7CFA" w:usb2="00082016" w:usb3="00000000" w:csb0="00040001" w:csb1="00000000"/>
    <w:embedRegular r:id="rId6" w:fontKey="{E1F61C83-60CF-48B0-9B28-0910E40B0C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2585720</wp:posOffset>
              </wp:positionH>
              <wp:positionV relativeFrom="paragraph">
                <wp:posOffset>-361950</wp:posOffset>
              </wp:positionV>
              <wp:extent cx="1828800" cy="59245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592455"/>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文本框 1" o:spid="_x0000_s1026" o:spt="202" type="#_x0000_t202" style="position:absolute;left:0pt;margin-left:203.6pt;margin-top:-28.5pt;height:46.65pt;width:144pt;mso-position-horizontal-relative:margin;mso-wrap-style:none;z-index:251660288;mso-width-relative:page;mso-height-relative:page;" filled="f" stroked="f" coordsize="21600,21600" o:gfxdata="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lvXu2tgAAAAKAQAADwAAAAAAAAABACAAAAAiAAAAZHJzL2Rvd25yZXYu&#10;eG1sUEsBAhQAFAAAAAgAh07iQCPYQ0HCAQAAfgMAAA4AAAAAAAAAAQAgAAAAJwEAAGRycy9lMm9E&#10;b2MueG1sUEsFBgAAAAAGAAYAWQEAAFsFA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-227965</wp:posOffset>
              </wp:positionV>
              <wp:extent cx="539750" cy="458470"/>
              <wp:effectExtent l="0" t="0" r="0" b="0"/>
              <wp:wrapNone/>
              <wp:docPr id="1" name="文本框 2"/>
              <wp:cNvGraphicFramePr/>
              <a:graphic xmlns:a="http://schemas.openxmlformats.org/drawingml/2006/main">
                <a:graphicData uri="http://schemas.microsoft.com/office/word/2010/wordprocessingShape">
                  <wps:wsp>
                    <wps:cNvSpPr txBox="1"/>
                    <wps:spPr>
                      <a:xfrm>
                        <a:off x="0" y="0"/>
                        <a:ext cx="539750" cy="45847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square" lIns="0" tIns="0" rIns="0" bIns="0" upright="0"/>
                  </wps:wsp>
                </a:graphicData>
              </a:graphic>
            </wp:anchor>
          </w:drawing>
        </mc:Choice>
        <mc:Fallback>
          <w:pict>
            <v:shape id="文本框 2" o:spid="_x0000_s1026" o:spt="202" type="#_x0000_t202" style="position:absolute;left:0pt;margin-top:-17.95pt;height:36.1pt;width:42.5pt;mso-position-horizontal:center;mso-position-horizontal-relative:margin;z-index:251659264;mso-width-relative:page;mso-height-relative:page;" filled="f" stroked="f" coordsize="21600,21600" o:gfxdata="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04y2+9YAAAAGAQAADwAAAAAAAAABACAAAAAiAAAAZHJzL2Rvd25yZXYu&#10;eG1sUEsBAhQAFAAAAAgAh07iQOPrq5nEAQAAfwMAAA4AAAAAAAAAAQAgAAAAJQ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posOffset>2585720</wp:posOffset>
              </wp:positionH>
              <wp:positionV relativeFrom="paragraph">
                <wp:posOffset>-361950</wp:posOffset>
              </wp:positionV>
              <wp:extent cx="1828800" cy="592455"/>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592455"/>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文本框 1" o:spid="_x0000_s1026" o:spt="202" type="#_x0000_t202" style="position:absolute;left:0pt;margin-left:203.6pt;margin-top:-28.5pt;height:46.65pt;width:144pt;mso-position-horizontal-relative:margin;mso-wrap-style:none;z-index:251662336;mso-width-relative:page;mso-height-relative:page;" filled="f" stroked="f" coordsize="21600,21600" o:gfxdata="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lvXu2tgAAAAKAQAADwAAAAAAAAABACAAAAAiAAAAZHJzL2Rvd25yZXYu&#10;eG1sUEsBAhQAFAAAAAgAh07iQKCUM8/CAQAAfgMAAA4AAAAAAAAAAQAgAAAAJwEAAGRycy9lMm9E&#10;b2MueG1sUEsFBgAAAAAGAAYAWQEAAFsFA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-227965</wp:posOffset>
              </wp:positionV>
              <wp:extent cx="539750" cy="458470"/>
              <wp:effectExtent l="0" t="0" r="0" b="0"/>
              <wp:wrapNone/>
              <wp:docPr id="3" name="文本框 2"/>
              <wp:cNvGraphicFramePr/>
              <a:graphic xmlns:a="http://schemas.openxmlformats.org/drawingml/2006/main">
                <a:graphicData uri="http://schemas.microsoft.com/office/word/2010/wordprocessingShape">
                  <wps:wsp>
                    <wps:cNvSpPr txBox="1"/>
                    <wps:spPr>
                      <a:xfrm>
                        <a:off x="0" y="0"/>
                        <a:ext cx="539750" cy="45847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square" lIns="0" tIns="0" rIns="0" bIns="0" upright="0"/>
                  </wps:wsp>
                </a:graphicData>
              </a:graphic>
            </wp:anchor>
          </w:drawing>
        </mc:Choice>
        <mc:Fallback>
          <w:pict>
            <v:shape id="文本框 2" o:spid="_x0000_s1026" o:spt="202" type="#_x0000_t202" style="position:absolute;left:0pt;margin-top:-17.95pt;height:36.1pt;width:42.5pt;mso-position-horizontal:center;mso-position-horizontal-relative:margin;z-index:251661312;mso-width-relative:page;mso-height-relative:page;" filled="f" stroked="f" coordsize="21600,21600" o:gfxdata="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NOMtvvWAAAABgEAAA8AAAAAAAAAAQAgAAAAIgAAAGRycy9kb3ducmV2&#10;LnhtbFBLAQIUABQAAAAIAIdO4kBRir61xQEAAH8DAAAOAAAAAAAAAAEAIAAAACU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9E4AA0"/>
    <w:multiLevelType w:val="singleLevel"/>
    <w:tmpl w:val="E39E4AA0"/>
    <w:lvl w:ilvl="0" w:tentative="0">
      <w:start w:val="1"/>
      <w:numFmt w:val="decimal"/>
      <w:lvlText w:val="%1."/>
      <w:lvlJc w:val="left"/>
      <w:pPr>
        <w:tabs>
          <w:tab w:val="left" w:pos="312"/>
        </w:tabs>
      </w:pPr>
    </w:lvl>
  </w:abstractNum>
  <w:abstractNum w:abstractNumId="1">
    <w:nsid w:val="F81BDA57"/>
    <w:multiLevelType w:val="singleLevel"/>
    <w:tmpl w:val="F81BDA57"/>
    <w:lvl w:ilvl="0" w:tentative="0">
      <w:start w:val="1"/>
      <w:numFmt w:val="decimal"/>
      <w:lvlText w:val="%1."/>
      <w:lvlJc w:val="left"/>
      <w:pPr>
        <w:tabs>
          <w:tab w:val="left" w:pos="312"/>
        </w:tabs>
      </w:pPr>
    </w:lvl>
  </w:abstractNum>
  <w:abstractNum w:abstractNumId="2">
    <w:nsid w:val="09298BAF"/>
    <w:multiLevelType w:val="singleLevel"/>
    <w:tmpl w:val="09298BAF"/>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MzM2OTk0NmY3ODA3YjgyYjE2MTNiM2I2ZjM1ZGQifQ=="/>
  </w:docVars>
  <w:rsids>
    <w:rsidRoot w:val="00172A27"/>
    <w:rsid w:val="02DA24F5"/>
    <w:rsid w:val="02FE2BDC"/>
    <w:rsid w:val="03134598"/>
    <w:rsid w:val="04783227"/>
    <w:rsid w:val="052D1AD4"/>
    <w:rsid w:val="077E17F5"/>
    <w:rsid w:val="0A175EAF"/>
    <w:rsid w:val="0B8272D4"/>
    <w:rsid w:val="10925431"/>
    <w:rsid w:val="12970260"/>
    <w:rsid w:val="13C26AB0"/>
    <w:rsid w:val="13D11486"/>
    <w:rsid w:val="142519A7"/>
    <w:rsid w:val="163758A8"/>
    <w:rsid w:val="17161831"/>
    <w:rsid w:val="1A3B0E64"/>
    <w:rsid w:val="1BBB33C2"/>
    <w:rsid w:val="1C656A66"/>
    <w:rsid w:val="1E34595C"/>
    <w:rsid w:val="1E9069D7"/>
    <w:rsid w:val="1F7E6CB9"/>
    <w:rsid w:val="1FE46981"/>
    <w:rsid w:val="202D2E4A"/>
    <w:rsid w:val="211110D8"/>
    <w:rsid w:val="21AC0556"/>
    <w:rsid w:val="243A6268"/>
    <w:rsid w:val="247B54C4"/>
    <w:rsid w:val="27A17343"/>
    <w:rsid w:val="297E1580"/>
    <w:rsid w:val="2A5B1186"/>
    <w:rsid w:val="2B654D31"/>
    <w:rsid w:val="2B8523CE"/>
    <w:rsid w:val="2C104AF2"/>
    <w:rsid w:val="2F22780E"/>
    <w:rsid w:val="2F5774B3"/>
    <w:rsid w:val="2F7C6A30"/>
    <w:rsid w:val="2FE95D01"/>
    <w:rsid w:val="302A27C6"/>
    <w:rsid w:val="306778BD"/>
    <w:rsid w:val="31CD17E7"/>
    <w:rsid w:val="330756F0"/>
    <w:rsid w:val="336B6C1D"/>
    <w:rsid w:val="369E4F9E"/>
    <w:rsid w:val="36C2248C"/>
    <w:rsid w:val="3ACC4763"/>
    <w:rsid w:val="3D0F233F"/>
    <w:rsid w:val="3DBC4616"/>
    <w:rsid w:val="3E2E6A98"/>
    <w:rsid w:val="3EE72407"/>
    <w:rsid w:val="3F7001F1"/>
    <w:rsid w:val="40301D92"/>
    <w:rsid w:val="437A0C79"/>
    <w:rsid w:val="448B00E1"/>
    <w:rsid w:val="44B80314"/>
    <w:rsid w:val="464916EC"/>
    <w:rsid w:val="464E0B68"/>
    <w:rsid w:val="467E3A34"/>
    <w:rsid w:val="478A029B"/>
    <w:rsid w:val="488A1F5C"/>
    <w:rsid w:val="49B07C4E"/>
    <w:rsid w:val="4A400668"/>
    <w:rsid w:val="4AEA0CF2"/>
    <w:rsid w:val="4DCD04E6"/>
    <w:rsid w:val="4E957F89"/>
    <w:rsid w:val="4F9A2578"/>
    <w:rsid w:val="506B19F1"/>
    <w:rsid w:val="524A1B19"/>
    <w:rsid w:val="52E43B5E"/>
    <w:rsid w:val="53380EFD"/>
    <w:rsid w:val="54942EF0"/>
    <w:rsid w:val="54D4102F"/>
    <w:rsid w:val="571908CE"/>
    <w:rsid w:val="5A2420D7"/>
    <w:rsid w:val="5B36465B"/>
    <w:rsid w:val="5EB420B7"/>
    <w:rsid w:val="5EB52A4E"/>
    <w:rsid w:val="5F0E3042"/>
    <w:rsid w:val="60D4244E"/>
    <w:rsid w:val="611B0ED7"/>
    <w:rsid w:val="617D2B26"/>
    <w:rsid w:val="641464A9"/>
    <w:rsid w:val="65D15556"/>
    <w:rsid w:val="667A0C3E"/>
    <w:rsid w:val="66BE5A3E"/>
    <w:rsid w:val="68D10D69"/>
    <w:rsid w:val="691A76FF"/>
    <w:rsid w:val="69FE6930"/>
    <w:rsid w:val="6B633969"/>
    <w:rsid w:val="6D355B7F"/>
    <w:rsid w:val="6F56767D"/>
    <w:rsid w:val="6FDF6C1F"/>
    <w:rsid w:val="70A46B57"/>
    <w:rsid w:val="70AC6372"/>
    <w:rsid w:val="735C1A0B"/>
    <w:rsid w:val="7487398F"/>
    <w:rsid w:val="78335DC2"/>
    <w:rsid w:val="78697BEF"/>
    <w:rsid w:val="7AF76B6E"/>
    <w:rsid w:val="7B711A37"/>
    <w:rsid w:val="7EAE384C"/>
    <w:rsid w:val="7EDA68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iPriority w:val="0"/>
    <w:pPr>
      <w:spacing w:before="1" w:beforeLines="0"/>
      <w:ind w:left="432"/>
      <w:outlineLvl w:val="0"/>
    </w:pPr>
    <w:rPr>
      <w:sz w:val="44"/>
      <w:szCs w:val="44"/>
    </w:rPr>
  </w:style>
  <w:style w:type="character" w:default="1" w:styleId="12">
    <w:name w:val="Default Paragraph Font"/>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黑体" w:hAnsi="黑体" w:eastAsia="黑体" w:cs="黑体"/>
      <w:color w:val="000000"/>
      <w:sz w:val="24"/>
      <w:szCs w:val="22"/>
      <w:lang w:val="en-US" w:eastAsia="zh-CN" w:bidi="ar-SA"/>
    </w:rPr>
  </w:style>
  <w:style w:type="paragraph" w:styleId="4">
    <w:name w:val="Body Text"/>
    <w:basedOn w:val="1"/>
    <w:next w:val="5"/>
    <w:uiPriority w:val="0"/>
    <w:rPr>
      <w:rFonts w:ascii="宋体" w:hAnsi="宋体" w:eastAsia="宋体" w:cs="宋体"/>
      <w:sz w:val="21"/>
      <w:szCs w:val="21"/>
      <w:lang w:val="zh-CN" w:eastAsia="zh-CN" w:bidi="zh-CN"/>
    </w:rPr>
  </w:style>
  <w:style w:type="paragraph" w:styleId="5">
    <w:name w:val="Body Text 2"/>
    <w:basedOn w:val="1"/>
    <w:qFormat/>
    <w:uiPriority w:val="0"/>
    <w:pPr>
      <w:jc w:val="center"/>
    </w:pPr>
    <w:rPr>
      <w:rFonts w:eastAsia="黑体"/>
      <w:b/>
      <w:sz w:val="36"/>
      <w:szCs w:val="20"/>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9">
    <w:name w:val="Normal (Web)"/>
    <w:basedOn w:val="1"/>
    <w:uiPriority w:val="0"/>
    <w:pPr>
      <w:spacing w:before="100" w:beforeLines="0" w:beforeAutospacing="1" w:after="100" w:afterLines="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uiPriority w:val="0"/>
  </w:style>
  <w:style w:type="character" w:customStyle="1" w:styleId="14">
    <w:name w:val="font31"/>
    <w:basedOn w:val="12"/>
    <w:uiPriority w:val="0"/>
    <w:rPr>
      <w:rFonts w:ascii="仿宋_GB2312" w:eastAsia="仿宋_GB2312" w:cs="仿宋_GB2312"/>
      <w:color w:val="000000"/>
      <w:sz w:val="20"/>
      <w:szCs w:val="20"/>
      <w:u w:val="none"/>
    </w:rPr>
  </w:style>
  <w:style w:type="character" w:customStyle="1" w:styleId="15">
    <w:name w:val="font71"/>
    <w:basedOn w:val="12"/>
    <w:uiPriority w:val="0"/>
    <w:rPr>
      <w:rFonts w:hint="eastAsia" w:ascii="宋体" w:hAnsi="宋体" w:eastAsia="宋体" w:cs="宋体"/>
      <w:color w:val="000000"/>
      <w:sz w:val="20"/>
      <w:szCs w:val="20"/>
      <w:u w:val="none"/>
    </w:rPr>
  </w:style>
  <w:style w:type="character" w:customStyle="1" w:styleId="16">
    <w:name w:val="font11"/>
    <w:basedOn w:val="12"/>
    <w:uiPriority w:val="0"/>
    <w:rPr>
      <w:rFonts w:hint="eastAsia" w:ascii="宋体" w:hAnsi="宋体" w:eastAsia="宋体" w:cs="宋体"/>
      <w:color w:val="000000"/>
      <w:sz w:val="20"/>
      <w:szCs w:val="20"/>
      <w:u w:val="none"/>
    </w:rPr>
  </w:style>
  <w:style w:type="character" w:customStyle="1" w:styleId="17">
    <w:name w:val="font61"/>
    <w:basedOn w:val="12"/>
    <w:uiPriority w:val="0"/>
    <w:rPr>
      <w:rFonts w:hint="eastAsia" w:ascii="宋体" w:hAnsi="宋体" w:eastAsia="宋体" w:cs="宋体"/>
      <w:color w:val="000000"/>
      <w:sz w:val="20"/>
      <w:szCs w:val="20"/>
      <w:u w:val="none"/>
    </w:rPr>
  </w:style>
  <w:style w:type="character" w:customStyle="1" w:styleId="18">
    <w:name w:val="font21"/>
    <w:basedOn w:val="12"/>
    <w:uiPriority w:val="0"/>
    <w:rPr>
      <w:rFonts w:hint="eastAsia" w:ascii="宋体" w:hAnsi="宋体" w:eastAsia="宋体" w:cs="宋体"/>
      <w:color w:val="000000"/>
      <w:sz w:val="20"/>
      <w:szCs w:val="20"/>
      <w:u w:val="none"/>
    </w:rPr>
  </w:style>
  <w:style w:type="paragraph" w:customStyle="1" w:styleId="19">
    <w:name w:val="p0"/>
    <w:basedOn w:val="1"/>
    <w:uiPriority w:val="0"/>
    <w:pPr>
      <w:widowControl/>
    </w:pPr>
    <w:rPr>
      <w:rFonts w:ascii="Times New Roman" w:hAnsi="Times New Roman"/>
      <w:kern w:val="0"/>
      <w:sz w:val="32"/>
      <w:szCs w:val="32"/>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1303</Words>
  <Characters>1372</Characters>
  <Lines>0</Lines>
  <Paragraphs>0</Paragraphs>
  <TotalTime>3</TotalTime>
  <ScaleCrop>false</ScaleCrop>
  <LinksUpToDate>false</LinksUpToDate>
  <CharactersWithSpaces>1429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2019-04-16T02:40:00Z</dcterms:created>
  <dc:creator>熙熙&amp;宸宸</dc:creator>
  <cp:lastModifiedBy>国强盛世</cp:lastModifiedBy>
  <cp:lastPrinted>2022-04-19T07:46:06Z</cp:lastPrinted>
  <dcterms:modified xsi:type="dcterms:W3CDTF">2023-01-09T07:39:48Z</dcterms:modified>
  <dc:title>伊市监〔2019〕71号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3D7A44B44CB34D35A1B64AAE1C2381F1</vt:lpwstr>
  </property>
</Properties>
</file>